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06996F2B" w14:textId="78192175" w:rsidR="008E2FAB" w:rsidRPr="005A238A" w:rsidRDefault="008E2FAB" w:rsidP="003C4123">
      <w:pPr>
        <w:pStyle w:val="BodyText"/>
        <w:spacing w:line="276" w:lineRule="auto"/>
        <w:rPr>
          <w:rFonts w:ascii="Meta Pro" w:hAnsi="Meta Pro"/>
          <w:b/>
          <w:bCs/>
          <w:sz w:val="36"/>
          <w:szCs w:val="36"/>
        </w:rPr>
      </w:pPr>
      <w:r w:rsidRPr="005A238A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0BA0DE72" w14:textId="7EE87827" w:rsidR="005A238A" w:rsidRPr="005A238A" w:rsidRDefault="003C4123" w:rsidP="003C4123">
      <w:pPr>
        <w:pStyle w:val="BodyText"/>
        <w:spacing w:line="276" w:lineRule="auto"/>
        <w:rPr>
          <w:rFonts w:ascii="Meta Pro" w:hAnsi="Meta Pro"/>
          <w:b/>
          <w:bCs/>
          <w:color w:val="000000" w:themeColor="text1"/>
          <w:sz w:val="28"/>
          <w:szCs w:val="28"/>
        </w:rPr>
      </w:pPr>
      <w:r>
        <w:rPr>
          <w:rFonts w:ascii="Meta Pro" w:hAnsi="Meta Pro"/>
          <w:b/>
          <w:bCs/>
          <w:color w:val="000000" w:themeColor="text1"/>
          <w:sz w:val="28"/>
          <w:szCs w:val="28"/>
        </w:rPr>
        <w:t>BauderROCK Tapered</w:t>
      </w:r>
      <w:r w:rsidR="000361BA">
        <w:rPr>
          <w:rFonts w:ascii="Meta Pro" w:hAnsi="Meta Pro"/>
          <w:b/>
          <w:bCs/>
          <w:color w:val="000000" w:themeColor="text1"/>
          <w:sz w:val="28"/>
          <w:szCs w:val="28"/>
        </w:rPr>
        <w:t xml:space="preserve"> Insulation</w:t>
      </w:r>
    </w:p>
    <w:p w14:paraId="748D2DAD" w14:textId="04708F3F" w:rsidR="005A238A" w:rsidRPr="005A238A" w:rsidRDefault="005A238A" w:rsidP="003C4123">
      <w:pPr>
        <w:pStyle w:val="BodyText"/>
        <w:spacing w:line="276" w:lineRule="auto"/>
        <w:rPr>
          <w:rFonts w:ascii="Meta Pro" w:hAnsi="Meta Pro"/>
          <w:b/>
          <w:bCs/>
          <w:color w:val="000000" w:themeColor="text1"/>
          <w:sz w:val="28"/>
          <w:szCs w:val="28"/>
        </w:rPr>
      </w:pPr>
      <w:r w:rsidRPr="005A238A">
        <w:rPr>
          <w:rFonts w:ascii="Meta Pro" w:hAnsi="Meta Pro"/>
          <w:b/>
          <w:bCs/>
          <w:color w:val="000000" w:themeColor="text1"/>
          <w:sz w:val="28"/>
          <w:szCs w:val="28"/>
        </w:rPr>
        <w:t>DoP-Nr.:</w:t>
      </w:r>
      <w:r w:rsidRPr="005A238A">
        <w:rPr>
          <w:rFonts w:ascii="Meta Pro" w:hAnsi="Meta Pro"/>
          <w:b/>
          <w:bCs/>
          <w:color w:val="000000" w:themeColor="text1"/>
          <w:spacing w:val="-1"/>
          <w:w w:val="105"/>
          <w:sz w:val="28"/>
          <w:szCs w:val="28"/>
        </w:rPr>
        <w:t xml:space="preserve"> </w:t>
      </w:r>
      <w:r w:rsidR="0061659A">
        <w:rPr>
          <w:rFonts w:ascii="Meta Pro" w:hAnsi="Meta Pro"/>
          <w:b/>
          <w:bCs/>
          <w:color w:val="000000" w:themeColor="text1"/>
          <w:spacing w:val="-1"/>
          <w:w w:val="105"/>
          <w:sz w:val="28"/>
          <w:szCs w:val="28"/>
        </w:rPr>
        <w:t>RW</w:t>
      </w:r>
      <w:r w:rsidRPr="005A238A">
        <w:rPr>
          <w:rFonts w:ascii="Meta Pro" w:hAnsi="Meta Pro"/>
          <w:b/>
          <w:bCs/>
          <w:color w:val="000000" w:themeColor="text1"/>
          <w:sz w:val="28"/>
          <w:szCs w:val="28"/>
        </w:rPr>
        <w:t>UK-</w:t>
      </w:r>
      <w:r w:rsidR="0061659A">
        <w:rPr>
          <w:rFonts w:ascii="Meta Pro" w:hAnsi="Meta Pro"/>
          <w:b/>
          <w:bCs/>
          <w:color w:val="000000" w:themeColor="text1"/>
          <w:sz w:val="28"/>
          <w:szCs w:val="28"/>
        </w:rPr>
        <w:t>CE</w:t>
      </w:r>
      <w:r w:rsidRPr="005A238A">
        <w:rPr>
          <w:rFonts w:ascii="Meta Pro" w:hAnsi="Meta Pro"/>
          <w:b/>
          <w:bCs/>
          <w:color w:val="000000" w:themeColor="text1"/>
          <w:sz w:val="28"/>
          <w:szCs w:val="28"/>
        </w:rPr>
        <w:t>-0148-0</w:t>
      </w:r>
      <w:r w:rsidR="0061659A">
        <w:rPr>
          <w:rFonts w:ascii="Meta Pro" w:hAnsi="Meta Pro"/>
          <w:b/>
          <w:bCs/>
          <w:color w:val="000000" w:themeColor="text1"/>
          <w:sz w:val="28"/>
          <w:szCs w:val="28"/>
        </w:rPr>
        <w:t>6</w:t>
      </w:r>
      <w:r w:rsidRPr="005A238A">
        <w:rPr>
          <w:rFonts w:ascii="Meta Pro" w:hAnsi="Meta Pro"/>
          <w:b/>
          <w:bCs/>
          <w:color w:val="000000" w:themeColor="text1"/>
          <w:sz w:val="28"/>
          <w:szCs w:val="28"/>
        </w:rPr>
        <w:t>_english</w:t>
      </w:r>
    </w:p>
    <w:p w14:paraId="77257F2F" w14:textId="77777777" w:rsidR="005A238A" w:rsidRPr="008E2FAB" w:rsidRDefault="005A238A">
      <w:pPr>
        <w:pStyle w:val="BodyText"/>
        <w:rPr>
          <w:rFonts w:ascii="Meta Pro" w:hAnsi="Meta Pro"/>
          <w:b/>
          <w:bCs/>
          <w:sz w:val="32"/>
          <w:szCs w:val="32"/>
        </w:rPr>
      </w:pPr>
    </w:p>
    <w:tbl>
      <w:tblPr>
        <w:tblStyle w:val="TableGrid"/>
        <w:tblW w:w="0" w:type="auto"/>
        <w:tblInd w:w="209" w:type="dxa"/>
        <w:tblLook w:val="04A0" w:firstRow="1" w:lastRow="0" w:firstColumn="1" w:lastColumn="0" w:noHBand="0" w:noVBand="1"/>
      </w:tblPr>
      <w:tblGrid>
        <w:gridCol w:w="342"/>
        <w:gridCol w:w="4609"/>
        <w:gridCol w:w="4950"/>
      </w:tblGrid>
      <w:tr w:rsidR="008E2FAB" w14:paraId="366A9602" w14:textId="77777777" w:rsidTr="005A238A">
        <w:tc>
          <w:tcPr>
            <w:tcW w:w="342" w:type="dxa"/>
          </w:tcPr>
          <w:p w14:paraId="385345F0" w14:textId="140C4564" w:rsidR="008E2FAB" w:rsidRPr="00BE1A4D" w:rsidRDefault="008E2FAB" w:rsidP="008E2FAB">
            <w:pPr>
              <w:pStyle w:val="BodyText"/>
              <w:spacing w:before="2"/>
              <w:rPr>
                <w:rFonts w:ascii="Times New Roman"/>
              </w:rPr>
            </w:pPr>
            <w:r w:rsidRPr="00BE1A4D">
              <w:rPr>
                <w:color w:val="000000"/>
              </w:rPr>
              <w:t>1.</w:t>
            </w:r>
          </w:p>
        </w:tc>
        <w:tc>
          <w:tcPr>
            <w:tcW w:w="4609" w:type="dxa"/>
          </w:tcPr>
          <w:p w14:paraId="6DAEC7A6" w14:textId="35CEC586" w:rsidR="008E2FAB" w:rsidRPr="00BE1A4D" w:rsidRDefault="008E2FAB" w:rsidP="008E2FAB">
            <w:pPr>
              <w:pStyle w:val="BodyText"/>
              <w:spacing w:before="2"/>
              <w:rPr>
                <w:rFonts w:ascii="Times New Roman"/>
              </w:rPr>
            </w:pPr>
            <w:r w:rsidRPr="00BE1A4D">
              <w:rPr>
                <w:color w:val="000000"/>
              </w:rPr>
              <w:t>Unique</w:t>
            </w:r>
            <w:r w:rsidRPr="00BE1A4D">
              <w:rPr>
                <w:color w:val="000000"/>
                <w:spacing w:val="-1"/>
              </w:rPr>
              <w:t xml:space="preserve"> </w:t>
            </w:r>
            <w:r w:rsidRPr="00BE1A4D">
              <w:rPr>
                <w:color w:val="000000"/>
              </w:rPr>
              <w:t>identification</w:t>
            </w:r>
            <w:r w:rsidRPr="00BE1A4D">
              <w:rPr>
                <w:color w:val="000000"/>
                <w:spacing w:val="-3"/>
              </w:rPr>
              <w:t xml:space="preserve"> </w:t>
            </w:r>
            <w:r w:rsidRPr="00BE1A4D">
              <w:rPr>
                <w:color w:val="000000"/>
              </w:rPr>
              <w:t>code</w:t>
            </w:r>
            <w:r w:rsidRPr="00BE1A4D">
              <w:rPr>
                <w:color w:val="000000"/>
                <w:spacing w:val="-1"/>
              </w:rPr>
              <w:t xml:space="preserve"> </w:t>
            </w:r>
            <w:r w:rsidRPr="00BE1A4D">
              <w:rPr>
                <w:color w:val="000000"/>
              </w:rPr>
              <w:t>of</w:t>
            </w:r>
            <w:r w:rsidRPr="00BE1A4D">
              <w:rPr>
                <w:color w:val="000000"/>
                <w:spacing w:val="-5"/>
              </w:rPr>
              <w:t xml:space="preserve"> </w:t>
            </w:r>
            <w:r w:rsidRPr="00BE1A4D">
              <w:rPr>
                <w:color w:val="000000"/>
              </w:rPr>
              <w:t>the</w:t>
            </w:r>
            <w:r w:rsidRPr="00BE1A4D">
              <w:rPr>
                <w:color w:val="000000"/>
                <w:spacing w:val="-3"/>
              </w:rPr>
              <w:t xml:space="preserve"> </w:t>
            </w:r>
            <w:r w:rsidRPr="00BE1A4D">
              <w:rPr>
                <w:color w:val="000000"/>
              </w:rPr>
              <w:t>product-type</w:t>
            </w:r>
          </w:p>
        </w:tc>
        <w:tc>
          <w:tcPr>
            <w:tcW w:w="4950" w:type="dxa"/>
          </w:tcPr>
          <w:p w14:paraId="652E25BC" w14:textId="30985F5B" w:rsidR="008E2FAB" w:rsidRPr="00BE1A4D" w:rsidRDefault="00E0098A" w:rsidP="008E2FAB">
            <w:pPr>
              <w:pStyle w:val="BodyText"/>
              <w:spacing w:before="2"/>
              <w:rPr>
                <w:rFonts w:ascii="Times New Roman"/>
              </w:rPr>
            </w:pPr>
            <w:r>
              <w:rPr>
                <w:color w:val="000000"/>
              </w:rPr>
              <w:t>RW</w:t>
            </w:r>
            <w:r w:rsidR="00BE1A4D" w:rsidRPr="00BE1A4D">
              <w:rPr>
                <w:color w:val="000000"/>
              </w:rPr>
              <w:t>UK-</w:t>
            </w:r>
            <w:r>
              <w:rPr>
                <w:color w:val="000000"/>
              </w:rPr>
              <w:t>CE</w:t>
            </w:r>
            <w:r w:rsidR="00BE1A4D" w:rsidRPr="00BE1A4D">
              <w:rPr>
                <w:color w:val="000000"/>
              </w:rPr>
              <w:t>-0148-0</w:t>
            </w:r>
            <w:r>
              <w:rPr>
                <w:color w:val="000000"/>
              </w:rPr>
              <w:t>6</w:t>
            </w:r>
            <w:r w:rsidR="00BE1A4D" w:rsidRPr="00BE1A4D">
              <w:rPr>
                <w:color w:val="000000"/>
              </w:rPr>
              <w:t>_english</w:t>
            </w:r>
          </w:p>
        </w:tc>
      </w:tr>
      <w:tr w:rsidR="008E2FAB" w14:paraId="303A633E" w14:textId="77777777" w:rsidTr="005A238A">
        <w:trPr>
          <w:trHeight w:val="477"/>
        </w:trPr>
        <w:tc>
          <w:tcPr>
            <w:tcW w:w="342" w:type="dxa"/>
          </w:tcPr>
          <w:p w14:paraId="2E8A32D3" w14:textId="17FF7458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22408">
              <w:rPr>
                <w:color w:val="000000"/>
              </w:rPr>
              <w:t>.</w:t>
            </w:r>
            <w:r w:rsidR="008E2FAB" w:rsidRPr="00BE1A4D">
              <w:rPr>
                <w:color w:val="000000"/>
              </w:rPr>
              <w:t xml:space="preserve"> </w:t>
            </w:r>
          </w:p>
        </w:tc>
        <w:tc>
          <w:tcPr>
            <w:tcW w:w="4609" w:type="dxa"/>
          </w:tcPr>
          <w:p w14:paraId="06CC8619" w14:textId="4423D333" w:rsidR="008E2FAB" w:rsidRPr="00BE1A4D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 w:rsidRPr="00BE1A4D">
              <w:t>Intended</w:t>
            </w:r>
            <w:r w:rsidRPr="00BE1A4D">
              <w:rPr>
                <w:spacing w:val="-3"/>
              </w:rPr>
              <w:t xml:space="preserve"> </w:t>
            </w:r>
            <w:r w:rsidRPr="00BE1A4D">
              <w:t>use of</w:t>
            </w:r>
            <w:r w:rsidRPr="00BE1A4D">
              <w:rPr>
                <w:spacing w:val="-2"/>
              </w:rPr>
              <w:t xml:space="preserve"> </w:t>
            </w:r>
            <w:r w:rsidRPr="00BE1A4D">
              <w:t>the</w:t>
            </w:r>
            <w:r w:rsidRPr="00BE1A4D">
              <w:rPr>
                <w:spacing w:val="-6"/>
              </w:rPr>
              <w:t xml:space="preserve"> </w:t>
            </w:r>
            <w:r w:rsidRPr="00BE1A4D">
              <w:t>construction</w:t>
            </w:r>
            <w:r w:rsidRPr="00BE1A4D">
              <w:rPr>
                <w:spacing w:val="-2"/>
              </w:rPr>
              <w:t xml:space="preserve"> </w:t>
            </w:r>
            <w:r w:rsidRPr="00BE1A4D">
              <w:t>product</w:t>
            </w:r>
            <w:r w:rsidRPr="00BE1A4D">
              <w:rPr>
                <w:spacing w:val="-2"/>
              </w:rPr>
              <w:t xml:space="preserve"> </w:t>
            </w:r>
            <w:r w:rsidRPr="00BE1A4D">
              <w:t>as</w:t>
            </w:r>
            <w:r w:rsidRPr="00BE1A4D">
              <w:rPr>
                <w:spacing w:val="-1"/>
              </w:rPr>
              <w:t xml:space="preserve"> </w:t>
            </w:r>
            <w:r w:rsidRPr="00BE1A4D">
              <w:t>foreseen</w:t>
            </w:r>
            <w:r w:rsidRPr="00BE1A4D">
              <w:rPr>
                <w:spacing w:val="-3"/>
              </w:rPr>
              <w:t xml:space="preserve"> </w:t>
            </w:r>
            <w:r w:rsidRPr="00BE1A4D">
              <w:t>by</w:t>
            </w:r>
            <w:r w:rsidRPr="00BE1A4D">
              <w:rPr>
                <w:spacing w:val="-2"/>
              </w:rPr>
              <w:t xml:space="preserve"> </w:t>
            </w:r>
            <w:r w:rsidRPr="00BE1A4D">
              <w:t>the</w:t>
            </w:r>
            <w:r w:rsidRPr="00BE1A4D">
              <w:rPr>
                <w:spacing w:val="-6"/>
              </w:rPr>
              <w:t xml:space="preserve"> </w:t>
            </w:r>
            <w:r w:rsidRPr="00BE1A4D">
              <w:t>manufacturer,in</w:t>
            </w:r>
            <w:r w:rsidRPr="00BE1A4D">
              <w:rPr>
                <w:spacing w:val="-2"/>
              </w:rPr>
              <w:t xml:space="preserve"> </w:t>
            </w:r>
            <w:r w:rsidRPr="00BE1A4D">
              <w:t>accordance</w:t>
            </w:r>
            <w:r w:rsidRPr="00BE1A4D">
              <w:rPr>
                <w:spacing w:val="-3"/>
              </w:rPr>
              <w:t xml:space="preserve"> </w:t>
            </w:r>
            <w:r w:rsidRPr="00BE1A4D">
              <w:t>with</w:t>
            </w:r>
            <w:r w:rsidRPr="00BE1A4D">
              <w:rPr>
                <w:spacing w:val="-2"/>
              </w:rPr>
              <w:t xml:space="preserve"> </w:t>
            </w:r>
            <w:r w:rsidRPr="00BE1A4D">
              <w:t>the</w:t>
            </w:r>
            <w:r w:rsidRPr="00BE1A4D">
              <w:rPr>
                <w:spacing w:val="-1"/>
              </w:rPr>
              <w:t xml:space="preserve"> </w:t>
            </w:r>
            <w:r w:rsidRPr="00BE1A4D">
              <w:t>applicable</w:t>
            </w:r>
            <w:r w:rsidRPr="00BE1A4D">
              <w:rPr>
                <w:spacing w:val="-4"/>
              </w:rPr>
              <w:t xml:space="preserve"> </w:t>
            </w:r>
            <w:r w:rsidRPr="00BE1A4D">
              <w:t>harmonised</w:t>
            </w:r>
            <w:r w:rsidRPr="00BE1A4D">
              <w:rPr>
                <w:spacing w:val="-4"/>
              </w:rPr>
              <w:t xml:space="preserve"> </w:t>
            </w:r>
            <w:r w:rsidRPr="00BE1A4D">
              <w:t>technical</w:t>
            </w:r>
            <w:r w:rsidRPr="00BE1A4D">
              <w:rPr>
                <w:spacing w:val="-4"/>
              </w:rPr>
              <w:t xml:space="preserve"> </w:t>
            </w:r>
            <w:r w:rsidRPr="00BE1A4D">
              <w:t>specification</w:t>
            </w:r>
          </w:p>
        </w:tc>
        <w:tc>
          <w:tcPr>
            <w:tcW w:w="4950" w:type="dxa"/>
          </w:tcPr>
          <w:p w14:paraId="26E49AF8" w14:textId="77777777" w:rsidR="001944ED" w:rsidRPr="00BE1A4D" w:rsidRDefault="001944ED" w:rsidP="001944ED">
            <w:pPr>
              <w:pStyle w:val="BodyText"/>
              <w:spacing w:before="1"/>
            </w:pPr>
            <w:r w:rsidRPr="00BE1A4D">
              <w:t>Thermal insulation</w:t>
            </w:r>
            <w:r w:rsidRPr="00BE1A4D">
              <w:rPr>
                <w:spacing w:val="-2"/>
              </w:rPr>
              <w:t xml:space="preserve"> </w:t>
            </w:r>
            <w:r w:rsidRPr="00BE1A4D">
              <w:t>for</w:t>
            </w:r>
            <w:r w:rsidRPr="00BE1A4D">
              <w:rPr>
                <w:spacing w:val="-2"/>
              </w:rPr>
              <w:t xml:space="preserve"> </w:t>
            </w:r>
            <w:r w:rsidRPr="00BE1A4D">
              <w:t>buildings</w:t>
            </w:r>
            <w:r w:rsidRPr="00BE1A4D">
              <w:rPr>
                <w:spacing w:val="-1"/>
              </w:rPr>
              <w:t xml:space="preserve"> </w:t>
            </w:r>
            <w:r w:rsidRPr="00BE1A4D">
              <w:t>(ThIB)</w:t>
            </w:r>
          </w:p>
          <w:p w14:paraId="6F411E75" w14:textId="77777777" w:rsidR="008E2FAB" w:rsidRPr="00BE1A4D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5A238A">
        <w:trPr>
          <w:trHeight w:val="555"/>
        </w:trPr>
        <w:tc>
          <w:tcPr>
            <w:tcW w:w="342" w:type="dxa"/>
          </w:tcPr>
          <w:p w14:paraId="3C2B6C6B" w14:textId="49D77648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6EE13646" w14:textId="77777777" w:rsidR="008E2FAB" w:rsidRPr="00BE1A4D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Name, registered trade name or registered trade mark and</w:t>
            </w:r>
          </w:p>
          <w:p w14:paraId="2F9FA708" w14:textId="77777777" w:rsidR="008E2FAB" w:rsidRPr="00BE1A4D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contact address of the manufacturer,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as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required</w:t>
            </w:r>
            <w:r w:rsidRPr="00BE1A4D">
              <w:rPr>
                <w:spacing w:val="-3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pursuant to</w:t>
            </w:r>
          </w:p>
          <w:p w14:paraId="68EB109F" w14:textId="7FE31C54" w:rsidR="008E2FAB" w:rsidRPr="00BE1A4D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Article 11(5)</w:t>
            </w:r>
            <w:r w:rsidRPr="00BE1A4D">
              <w:rPr>
                <w:spacing w:val="-3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of</w:t>
            </w:r>
            <w:r w:rsidRPr="00BE1A4D">
              <w:rPr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regulation</w:t>
            </w:r>
            <w:r w:rsidRPr="00BE1A4D">
              <w:rPr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(EU)</w:t>
            </w:r>
            <w:r w:rsidRPr="00BE1A4D">
              <w:rPr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No</w:t>
            </w:r>
            <w:r w:rsidRPr="00BE1A4D">
              <w:rPr>
                <w:spacing w:val="-6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305/2011</w:t>
            </w:r>
          </w:p>
        </w:tc>
        <w:tc>
          <w:tcPr>
            <w:tcW w:w="4950" w:type="dxa"/>
          </w:tcPr>
          <w:p w14:paraId="5AEED83B" w14:textId="18FF31FD" w:rsidR="008E2FAB" w:rsidRPr="00BE1A4D" w:rsidRDefault="005E1038" w:rsidP="008E2FAB">
            <w:pPr>
              <w:spacing w:line="276" w:lineRule="auto"/>
              <w:ind w:right="16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Bauder Ltd, 70 Landseer Road, Ipswich, Suffolk, IP3 0DH</w:t>
            </w:r>
          </w:p>
          <w:p w14:paraId="1CE9961B" w14:textId="77777777" w:rsidR="008E2FAB" w:rsidRPr="00BE1A4D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5A238A">
        <w:trPr>
          <w:trHeight w:val="348"/>
        </w:trPr>
        <w:tc>
          <w:tcPr>
            <w:tcW w:w="342" w:type="dxa"/>
          </w:tcPr>
          <w:p w14:paraId="7EBA1F08" w14:textId="0AA6CC6D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454571EA" w14:textId="46C2CC4F" w:rsidR="008E2FAB" w:rsidRPr="00BE1A4D" w:rsidRDefault="008E2FAB" w:rsidP="00BE1A4D">
            <w:pPr>
              <w:pStyle w:val="BodyText"/>
              <w:tabs>
                <w:tab w:val="left" w:pos="897"/>
              </w:tabs>
            </w:pPr>
            <w:r w:rsidRPr="00BE1A4D">
              <w:t>Applicable</w:t>
            </w:r>
            <w:r w:rsidRPr="00BE1A4D">
              <w:rPr>
                <w:spacing w:val="-6"/>
              </w:rPr>
              <w:t xml:space="preserve"> </w:t>
            </w:r>
            <w:r w:rsidRPr="00BE1A4D">
              <w:t>System</w:t>
            </w:r>
            <w:r w:rsidRPr="00BE1A4D">
              <w:rPr>
                <w:spacing w:val="-1"/>
              </w:rPr>
              <w:t xml:space="preserve"> </w:t>
            </w:r>
            <w:r w:rsidRPr="00BE1A4D">
              <w:t>or</w:t>
            </w:r>
            <w:r w:rsidRPr="00BE1A4D">
              <w:rPr>
                <w:spacing w:val="-4"/>
              </w:rPr>
              <w:t xml:space="preserve"> </w:t>
            </w:r>
            <w:r w:rsidRPr="00BE1A4D">
              <w:t>Systems</w:t>
            </w:r>
            <w:r w:rsidRPr="00BE1A4D">
              <w:rPr>
                <w:spacing w:val="-1"/>
              </w:rPr>
              <w:t xml:space="preserve"> </w:t>
            </w:r>
            <w:r w:rsidRPr="00BE1A4D">
              <w:t>of</w:t>
            </w:r>
            <w:r w:rsidRPr="00BE1A4D">
              <w:rPr>
                <w:spacing w:val="-5"/>
              </w:rPr>
              <w:t xml:space="preserve"> </w:t>
            </w:r>
            <w:r w:rsidRPr="00BE1A4D">
              <w:t>Assessment and</w:t>
            </w:r>
            <w:r w:rsidRPr="00BE1A4D">
              <w:rPr>
                <w:spacing w:val="-3"/>
              </w:rPr>
              <w:t xml:space="preserve"> </w:t>
            </w:r>
            <w:r w:rsidRPr="00BE1A4D">
              <w:t>Verification of</w:t>
            </w:r>
            <w:r w:rsidRPr="00BE1A4D">
              <w:rPr>
                <w:spacing w:val="1"/>
              </w:rPr>
              <w:t xml:space="preserve"> </w:t>
            </w:r>
            <w:r w:rsidRPr="00BE1A4D">
              <w:t>Constancy</w:t>
            </w:r>
            <w:r w:rsidRPr="00BE1A4D">
              <w:rPr>
                <w:spacing w:val="-2"/>
              </w:rPr>
              <w:t xml:space="preserve"> </w:t>
            </w:r>
            <w:r w:rsidRPr="00BE1A4D">
              <w:t>of Performance</w:t>
            </w:r>
            <w:r w:rsidRPr="00BE1A4D">
              <w:rPr>
                <w:spacing w:val="-2"/>
              </w:rPr>
              <w:t xml:space="preserve"> </w:t>
            </w:r>
            <w:r w:rsidRPr="00BE1A4D">
              <w:t>(AVCP)</w:t>
            </w:r>
          </w:p>
        </w:tc>
        <w:tc>
          <w:tcPr>
            <w:tcW w:w="4950" w:type="dxa"/>
          </w:tcPr>
          <w:p w14:paraId="142FE92A" w14:textId="75064A57" w:rsidR="008E2FAB" w:rsidRPr="00BE1A4D" w:rsidRDefault="00BE1A4D" w:rsidP="005A238A">
            <w:pPr>
              <w:pStyle w:val="BodyText"/>
              <w:rPr>
                <w:color w:val="000000"/>
              </w:rPr>
            </w:pPr>
            <w:r w:rsidRPr="00BE1A4D">
              <w:t>SYSTEM</w:t>
            </w:r>
            <w:r w:rsidRPr="00BE1A4D">
              <w:rPr>
                <w:spacing w:val="1"/>
              </w:rPr>
              <w:t xml:space="preserve"> </w:t>
            </w:r>
            <w:r w:rsidRPr="00BE1A4D">
              <w:t>1</w:t>
            </w:r>
            <w:r w:rsidRPr="00BE1A4D">
              <w:rPr>
                <w:spacing w:val="-1"/>
              </w:rPr>
              <w:t xml:space="preserve"> </w:t>
            </w:r>
            <w:r w:rsidRPr="00BE1A4D">
              <w:t>for uses subject</w:t>
            </w:r>
            <w:r w:rsidRPr="00BE1A4D">
              <w:rPr>
                <w:spacing w:val="-3"/>
              </w:rPr>
              <w:t xml:space="preserve"> </w:t>
            </w:r>
            <w:r w:rsidRPr="00BE1A4D">
              <w:t>to regulations on reaction to fire</w:t>
            </w:r>
            <w:r w:rsidRPr="00BE1A4D">
              <w:rPr>
                <w:spacing w:val="1"/>
              </w:rPr>
              <w:t xml:space="preserve"> </w:t>
            </w:r>
            <w:r w:rsidRPr="00BE1A4D">
              <w:t>SYSTEM</w:t>
            </w:r>
            <w:r w:rsidRPr="00BE1A4D">
              <w:rPr>
                <w:spacing w:val="1"/>
              </w:rPr>
              <w:t xml:space="preserve"> </w:t>
            </w:r>
            <w:r w:rsidRPr="00BE1A4D">
              <w:t>3</w:t>
            </w:r>
            <w:r w:rsidRPr="00BE1A4D">
              <w:rPr>
                <w:spacing w:val="-2"/>
              </w:rPr>
              <w:t xml:space="preserve"> </w:t>
            </w:r>
            <w:r w:rsidRPr="00BE1A4D">
              <w:t>for</w:t>
            </w:r>
            <w:r w:rsidRPr="00BE1A4D">
              <w:rPr>
                <w:spacing w:val="1"/>
              </w:rPr>
              <w:t xml:space="preserve"> </w:t>
            </w:r>
            <w:r w:rsidRPr="00BE1A4D">
              <w:t>all</w:t>
            </w:r>
            <w:r w:rsidRPr="00BE1A4D">
              <w:rPr>
                <w:spacing w:val="-1"/>
              </w:rPr>
              <w:t xml:space="preserve"> </w:t>
            </w:r>
            <w:r w:rsidRPr="00BE1A4D">
              <w:t>other</w:t>
            </w:r>
            <w:r w:rsidRPr="00BE1A4D">
              <w:rPr>
                <w:spacing w:val="-1"/>
              </w:rPr>
              <w:t xml:space="preserve"> </w:t>
            </w:r>
            <w:r w:rsidRPr="00BE1A4D">
              <w:t>intended</w:t>
            </w:r>
            <w:r w:rsidRPr="00BE1A4D">
              <w:rPr>
                <w:spacing w:val="2"/>
              </w:rPr>
              <w:t xml:space="preserve"> </w:t>
            </w:r>
            <w:r w:rsidRPr="00BE1A4D">
              <w:t>uses</w:t>
            </w:r>
          </w:p>
        </w:tc>
      </w:tr>
      <w:tr w:rsidR="008E2FAB" w14:paraId="63A5CB85" w14:textId="77777777" w:rsidTr="005A238A">
        <w:tc>
          <w:tcPr>
            <w:tcW w:w="342" w:type="dxa"/>
          </w:tcPr>
          <w:p w14:paraId="67FA8B3C" w14:textId="78EBC26D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11BC6E2B" w14:textId="7A73E2CD" w:rsidR="008E2FAB" w:rsidRPr="00BE1A4D" w:rsidRDefault="008E2FAB" w:rsidP="008E2FAB">
            <w:pPr>
              <w:pStyle w:val="BodyText"/>
              <w:spacing w:before="2"/>
              <w:rPr>
                <w:color w:val="000000"/>
              </w:rPr>
            </w:pPr>
            <w:r w:rsidRPr="00BE1A4D">
              <w:t>Harmonised</w:t>
            </w:r>
            <w:r w:rsidRPr="00BE1A4D">
              <w:rPr>
                <w:spacing w:val="-6"/>
              </w:rPr>
              <w:t xml:space="preserve"> </w:t>
            </w:r>
            <w:r w:rsidRPr="00BE1A4D">
              <w:t>Standard</w:t>
            </w:r>
            <w:r w:rsidRPr="00BE1A4D">
              <w:rPr>
                <w:spacing w:val="-1"/>
              </w:rPr>
              <w:t xml:space="preserve"> </w:t>
            </w:r>
            <w:r w:rsidRPr="00BE1A4D">
              <w:t>reference</w:t>
            </w:r>
            <w:r w:rsidRPr="00BE1A4D">
              <w:rPr>
                <w:spacing w:val="-2"/>
              </w:rPr>
              <w:t xml:space="preserve"> </w:t>
            </w:r>
            <w:r w:rsidRPr="00BE1A4D">
              <w:t>number</w:t>
            </w:r>
            <w:r w:rsidRPr="00BE1A4D">
              <w:rPr>
                <w:spacing w:val="-2"/>
              </w:rPr>
              <w:t xml:space="preserve"> </w:t>
            </w:r>
            <w:r w:rsidRPr="00BE1A4D">
              <w:t>and</w:t>
            </w:r>
            <w:r w:rsidRPr="00BE1A4D">
              <w:rPr>
                <w:spacing w:val="-3"/>
              </w:rPr>
              <w:t xml:space="preserve"> </w:t>
            </w:r>
            <w:r w:rsidRPr="00BE1A4D">
              <w:t>date</w:t>
            </w:r>
            <w:r w:rsidRPr="00BE1A4D">
              <w:rPr>
                <w:spacing w:val="-3"/>
              </w:rPr>
              <w:t xml:space="preserve"> </w:t>
            </w:r>
            <w:r w:rsidRPr="00BE1A4D">
              <w:t>of</w:t>
            </w:r>
            <w:r w:rsidRPr="00BE1A4D">
              <w:rPr>
                <w:spacing w:val="-2"/>
              </w:rPr>
              <w:t xml:space="preserve"> </w:t>
            </w:r>
            <w:r w:rsidRPr="00BE1A4D">
              <w:t>issue</w:t>
            </w:r>
          </w:p>
        </w:tc>
        <w:tc>
          <w:tcPr>
            <w:tcW w:w="4950" w:type="dxa"/>
          </w:tcPr>
          <w:p w14:paraId="04DB1448" w14:textId="3FF09AB6" w:rsidR="008E2FAB" w:rsidRPr="00BE1A4D" w:rsidRDefault="00BE1A4D" w:rsidP="005E1038">
            <w:pPr>
              <w:spacing w:before="26"/>
              <w:rPr>
                <w:color w:val="000000"/>
                <w:sz w:val="15"/>
                <w:szCs w:val="15"/>
              </w:rPr>
            </w:pPr>
            <w:r w:rsidRPr="00BE1A4D">
              <w:rPr>
                <w:color w:val="000000"/>
                <w:sz w:val="15"/>
                <w:szCs w:val="15"/>
              </w:rPr>
              <w:t>BS</w:t>
            </w:r>
            <w:r w:rsidRPr="00BE1A4D">
              <w:rPr>
                <w:color w:val="000000"/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color w:val="000000"/>
                <w:sz w:val="15"/>
                <w:szCs w:val="15"/>
              </w:rPr>
              <w:t>EN 13162:2012+A1:2015</w:t>
            </w:r>
          </w:p>
        </w:tc>
      </w:tr>
      <w:tr w:rsidR="00C22408" w14:paraId="4E5D2A65" w14:textId="77777777" w:rsidTr="005A238A">
        <w:tc>
          <w:tcPr>
            <w:tcW w:w="342" w:type="dxa"/>
          </w:tcPr>
          <w:p w14:paraId="2578AE20" w14:textId="0AF2323A" w:rsidR="00C22408" w:rsidRPr="00BE1A4D" w:rsidRDefault="00C84F8B" w:rsidP="00C2240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21BCCC55" w14:textId="350FAB18" w:rsidR="00C22408" w:rsidRPr="00BE1A4D" w:rsidRDefault="00C22408" w:rsidP="00C22408">
            <w:pPr>
              <w:pStyle w:val="BodyText"/>
              <w:spacing w:before="2"/>
            </w:pPr>
            <w:r w:rsidRPr="00C22408">
              <w:t>Notified</w:t>
            </w:r>
            <w:r w:rsidRPr="00C22408">
              <w:rPr>
                <w:spacing w:val="-5"/>
              </w:rPr>
              <w:t xml:space="preserve"> </w:t>
            </w:r>
            <w:r w:rsidRPr="00C22408">
              <w:t>Body identification</w:t>
            </w:r>
            <w:r w:rsidRPr="00C22408">
              <w:rPr>
                <w:spacing w:val="-1"/>
              </w:rPr>
              <w:t xml:space="preserve"> </w:t>
            </w:r>
            <w:r w:rsidRPr="00C22408">
              <w:t xml:space="preserve">number </w:t>
            </w:r>
          </w:p>
        </w:tc>
        <w:tc>
          <w:tcPr>
            <w:tcW w:w="4950" w:type="dxa"/>
          </w:tcPr>
          <w:p w14:paraId="62F79006" w14:textId="49350717" w:rsidR="00C22408" w:rsidRPr="00BE1A4D" w:rsidRDefault="00C22408" w:rsidP="00C22408">
            <w:pPr>
              <w:spacing w:line="168" w:lineRule="exact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0751</w:t>
            </w:r>
          </w:p>
        </w:tc>
      </w:tr>
      <w:tr w:rsidR="00C22408" w14:paraId="7FF11C8C" w14:textId="77777777" w:rsidTr="005A238A">
        <w:tc>
          <w:tcPr>
            <w:tcW w:w="342" w:type="dxa"/>
          </w:tcPr>
          <w:p w14:paraId="74BE2C1C" w14:textId="56AF618D" w:rsidR="00C22408" w:rsidRPr="00BE1A4D" w:rsidRDefault="00C84F8B" w:rsidP="00C2240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3EAF247C" w14:textId="22C19B79" w:rsidR="00C22408" w:rsidRPr="00BE1A4D" w:rsidRDefault="00C22408" w:rsidP="00C22408">
            <w:pPr>
              <w:pStyle w:val="BodyText"/>
              <w:spacing w:before="2"/>
            </w:pPr>
            <w:r w:rsidRPr="00BE1A4D">
              <w:t>Declared</w:t>
            </w:r>
            <w:r w:rsidRPr="00BE1A4D">
              <w:rPr>
                <w:spacing w:val="-4"/>
              </w:rPr>
              <w:t xml:space="preserve"> </w:t>
            </w:r>
            <w:r w:rsidRPr="00BE1A4D">
              <w:t>Performances</w:t>
            </w:r>
          </w:p>
        </w:tc>
        <w:tc>
          <w:tcPr>
            <w:tcW w:w="4950" w:type="dxa"/>
          </w:tcPr>
          <w:p w14:paraId="56C4733E" w14:textId="77777777" w:rsidR="00C22408" w:rsidRPr="00BE1A4D" w:rsidRDefault="00C22408" w:rsidP="00C22408">
            <w:pPr>
              <w:spacing w:line="168" w:lineRule="exact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Please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refer to</w:t>
            </w:r>
            <w:r w:rsidRPr="00BE1A4D">
              <w:rPr>
                <w:spacing w:val="-4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the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table below</w:t>
            </w:r>
          </w:p>
          <w:p w14:paraId="60177BB1" w14:textId="12314D0B" w:rsidR="00C22408" w:rsidRPr="00BE1A4D" w:rsidRDefault="00C22408" w:rsidP="00C22408">
            <w:pPr>
              <w:spacing w:before="26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(NPD</w:t>
            </w:r>
            <w:r w:rsidRPr="00BE1A4D">
              <w:rPr>
                <w:spacing w:val="-4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–</w:t>
            </w:r>
            <w:r w:rsidRPr="00BE1A4D">
              <w:rPr>
                <w:spacing w:val="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No</w:t>
            </w:r>
            <w:r w:rsidRPr="00BE1A4D">
              <w:rPr>
                <w:spacing w:val="-3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Performance</w:t>
            </w:r>
            <w:r w:rsidRPr="00BE1A4D">
              <w:rPr>
                <w:spacing w:val="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Determined)</w:t>
            </w:r>
          </w:p>
        </w:tc>
      </w:tr>
    </w:tbl>
    <w:p w14:paraId="637A826F" w14:textId="0C9D033C" w:rsidR="005E1038" w:rsidRDefault="00E0098A">
      <w:pPr>
        <w:pStyle w:val="BodyText"/>
        <w:ind w:left="119"/>
        <w:rPr>
          <w:sz w:val="16"/>
          <w:szCs w:val="11"/>
        </w:rPr>
      </w:pPr>
      <w:r>
        <w:rPr>
          <w:noProof/>
          <w:sz w:val="16"/>
          <w:szCs w:val="11"/>
        </w:rPr>
        <w:drawing>
          <wp:inline distT="0" distB="0" distL="0" distR="0" wp14:anchorId="7E91C32D" wp14:editId="2CEF46EC">
            <wp:extent cx="6426200" cy="3699510"/>
            <wp:effectExtent l="0" t="0" r="0" b="0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69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8D911" w14:textId="77777777" w:rsidR="00BE1A4D" w:rsidRDefault="00BE1A4D" w:rsidP="00BE1A4D">
      <w:pPr>
        <w:spacing w:line="283" w:lineRule="auto"/>
        <w:ind w:left="180" w:right="423"/>
        <w:rPr>
          <w:sz w:val="11"/>
        </w:rPr>
      </w:pPr>
      <w:r>
        <w:rPr>
          <w:sz w:val="11"/>
          <w:vertAlign w:val="superscript"/>
        </w:rPr>
        <w:t>a)</w:t>
      </w:r>
      <w:r>
        <w:rPr>
          <w:spacing w:val="-7"/>
          <w:sz w:val="11"/>
        </w:rPr>
        <w:t xml:space="preserve"> </w:t>
      </w:r>
      <w:r>
        <w:rPr>
          <w:sz w:val="11"/>
        </w:rPr>
        <w:t>No</w:t>
      </w:r>
      <w:r>
        <w:rPr>
          <w:spacing w:val="8"/>
          <w:sz w:val="11"/>
        </w:rPr>
        <w:t xml:space="preserve"> </w:t>
      </w:r>
      <w:r>
        <w:rPr>
          <w:sz w:val="11"/>
        </w:rPr>
        <w:t>change</w:t>
      </w:r>
      <w:r>
        <w:rPr>
          <w:spacing w:val="5"/>
          <w:sz w:val="11"/>
        </w:rPr>
        <w:t xml:space="preserve"> </w:t>
      </w:r>
      <w:r>
        <w:rPr>
          <w:sz w:val="11"/>
        </w:rPr>
        <w:t>in</w:t>
      </w:r>
      <w:r>
        <w:rPr>
          <w:spacing w:val="5"/>
          <w:sz w:val="11"/>
        </w:rPr>
        <w:t xml:space="preserve"> </w:t>
      </w:r>
      <w:r>
        <w:rPr>
          <w:sz w:val="11"/>
        </w:rPr>
        <w:t>reaction</w:t>
      </w:r>
      <w:r>
        <w:rPr>
          <w:spacing w:val="7"/>
          <w:sz w:val="11"/>
        </w:rPr>
        <w:t xml:space="preserve"> </w:t>
      </w:r>
      <w:r>
        <w:rPr>
          <w:sz w:val="11"/>
        </w:rPr>
        <w:t>to</w:t>
      </w:r>
      <w:r>
        <w:rPr>
          <w:spacing w:val="5"/>
          <w:sz w:val="11"/>
        </w:rPr>
        <w:t xml:space="preserve"> </w:t>
      </w:r>
      <w:r>
        <w:rPr>
          <w:sz w:val="11"/>
        </w:rPr>
        <w:t>fire</w:t>
      </w:r>
      <w:r>
        <w:rPr>
          <w:spacing w:val="4"/>
          <w:sz w:val="11"/>
        </w:rPr>
        <w:t xml:space="preserve"> </w:t>
      </w:r>
      <w:r>
        <w:rPr>
          <w:sz w:val="11"/>
        </w:rPr>
        <w:t>properties</w:t>
      </w:r>
      <w:r>
        <w:rPr>
          <w:spacing w:val="4"/>
          <w:sz w:val="11"/>
        </w:rPr>
        <w:t xml:space="preserve"> </w:t>
      </w:r>
      <w:r>
        <w:rPr>
          <w:sz w:val="11"/>
        </w:rPr>
        <w:t>for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4"/>
          <w:sz w:val="11"/>
        </w:rPr>
        <w:t xml:space="preserve"> </w:t>
      </w:r>
      <w:r>
        <w:rPr>
          <w:sz w:val="11"/>
        </w:rPr>
        <w:t>products.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fire</w:t>
      </w:r>
      <w:r>
        <w:rPr>
          <w:spacing w:val="5"/>
          <w:sz w:val="11"/>
        </w:rPr>
        <w:t xml:space="preserve"> </w:t>
      </w:r>
      <w:r>
        <w:rPr>
          <w:sz w:val="11"/>
        </w:rPr>
        <w:t>performance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9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3"/>
          <w:sz w:val="11"/>
        </w:rPr>
        <w:t xml:space="preserve"> </w:t>
      </w:r>
      <w:r>
        <w:rPr>
          <w:sz w:val="11"/>
        </w:rPr>
        <w:t>does</w:t>
      </w:r>
      <w:r>
        <w:rPr>
          <w:spacing w:val="4"/>
          <w:sz w:val="11"/>
        </w:rPr>
        <w:t xml:space="preserve"> </w:t>
      </w:r>
      <w:r>
        <w:rPr>
          <w:sz w:val="11"/>
        </w:rPr>
        <w:t>not</w:t>
      </w:r>
      <w:r>
        <w:rPr>
          <w:spacing w:val="8"/>
          <w:sz w:val="11"/>
        </w:rPr>
        <w:t xml:space="preserve"> </w:t>
      </w:r>
      <w:r>
        <w:rPr>
          <w:sz w:val="11"/>
        </w:rPr>
        <w:t>deteriorate</w:t>
      </w:r>
      <w:r>
        <w:rPr>
          <w:spacing w:val="5"/>
          <w:sz w:val="11"/>
        </w:rPr>
        <w:t xml:space="preserve"> </w:t>
      </w:r>
      <w:r>
        <w:rPr>
          <w:sz w:val="11"/>
        </w:rPr>
        <w:t>with</w:t>
      </w:r>
      <w:r>
        <w:rPr>
          <w:spacing w:val="5"/>
          <w:sz w:val="11"/>
        </w:rPr>
        <w:t xml:space="preserve"> </w:t>
      </w:r>
      <w:r>
        <w:rPr>
          <w:sz w:val="11"/>
        </w:rPr>
        <w:t>time.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Euroclass</w:t>
      </w:r>
      <w:r>
        <w:rPr>
          <w:spacing w:val="3"/>
          <w:sz w:val="11"/>
        </w:rPr>
        <w:t xml:space="preserve"> </w:t>
      </w:r>
      <w:r>
        <w:rPr>
          <w:sz w:val="11"/>
        </w:rPr>
        <w:t>classification</w:t>
      </w:r>
      <w:r>
        <w:rPr>
          <w:spacing w:val="5"/>
          <w:sz w:val="11"/>
        </w:rPr>
        <w:t xml:space="preserve"> </w:t>
      </w:r>
      <w:r>
        <w:rPr>
          <w:sz w:val="11"/>
        </w:rPr>
        <w:t>of</w:t>
      </w:r>
      <w:r>
        <w:rPr>
          <w:spacing w:val="4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product</w:t>
      </w:r>
      <w:r>
        <w:rPr>
          <w:spacing w:val="5"/>
          <w:sz w:val="11"/>
        </w:rPr>
        <w:t xml:space="preserve"> </w:t>
      </w:r>
      <w:r>
        <w:rPr>
          <w:sz w:val="11"/>
        </w:rPr>
        <w:t>is</w:t>
      </w:r>
      <w:r>
        <w:rPr>
          <w:spacing w:val="4"/>
          <w:sz w:val="11"/>
        </w:rPr>
        <w:t xml:space="preserve"> </w:t>
      </w:r>
      <w:r>
        <w:rPr>
          <w:sz w:val="11"/>
        </w:rPr>
        <w:t>related</w:t>
      </w:r>
      <w:r>
        <w:rPr>
          <w:spacing w:val="8"/>
          <w:sz w:val="11"/>
        </w:rPr>
        <w:t xml:space="preserve"> </w:t>
      </w:r>
      <w:r>
        <w:rPr>
          <w:sz w:val="11"/>
        </w:rPr>
        <w:t>to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organic</w:t>
      </w:r>
      <w:r>
        <w:rPr>
          <w:spacing w:val="-2"/>
          <w:sz w:val="11"/>
        </w:rPr>
        <w:t xml:space="preserve"> </w:t>
      </w:r>
      <w:r>
        <w:rPr>
          <w:sz w:val="11"/>
        </w:rPr>
        <w:t>content,</w:t>
      </w:r>
      <w:r>
        <w:rPr>
          <w:spacing w:val="2"/>
          <w:sz w:val="11"/>
        </w:rPr>
        <w:t xml:space="preserve"> </w:t>
      </w:r>
      <w:r>
        <w:rPr>
          <w:sz w:val="11"/>
        </w:rPr>
        <w:t>which cannot</w:t>
      </w:r>
      <w:r>
        <w:rPr>
          <w:spacing w:val="1"/>
          <w:sz w:val="11"/>
        </w:rPr>
        <w:t xml:space="preserve"> </w:t>
      </w:r>
      <w:r>
        <w:rPr>
          <w:sz w:val="11"/>
        </w:rPr>
        <w:t>increase with</w:t>
      </w:r>
      <w:r>
        <w:rPr>
          <w:spacing w:val="2"/>
          <w:sz w:val="11"/>
        </w:rPr>
        <w:t xml:space="preserve"> </w:t>
      </w:r>
      <w:r>
        <w:rPr>
          <w:sz w:val="11"/>
        </w:rPr>
        <w:t>time.</w:t>
      </w:r>
    </w:p>
    <w:p w14:paraId="5A6C5025" w14:textId="77777777" w:rsidR="00BE1A4D" w:rsidRDefault="00BE1A4D" w:rsidP="00BE1A4D">
      <w:pPr>
        <w:spacing w:line="126" w:lineRule="exact"/>
        <w:ind w:left="180"/>
        <w:rPr>
          <w:sz w:val="11"/>
        </w:rPr>
      </w:pPr>
      <w:r>
        <w:rPr>
          <w:sz w:val="11"/>
          <w:vertAlign w:val="superscript"/>
        </w:rPr>
        <w:t>b)</w:t>
      </w:r>
      <w:r>
        <w:rPr>
          <w:spacing w:val="-7"/>
          <w:sz w:val="11"/>
        </w:rPr>
        <w:t xml:space="preserve"> </w:t>
      </w:r>
      <w:r>
        <w:rPr>
          <w:sz w:val="11"/>
        </w:rPr>
        <w:t>Thermal</w:t>
      </w:r>
      <w:r>
        <w:rPr>
          <w:spacing w:val="7"/>
          <w:sz w:val="11"/>
        </w:rPr>
        <w:t xml:space="preserve"> </w:t>
      </w:r>
      <w:r>
        <w:rPr>
          <w:sz w:val="11"/>
        </w:rPr>
        <w:t>conductivity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4"/>
          <w:sz w:val="11"/>
        </w:rPr>
        <w:t xml:space="preserve"> </w:t>
      </w:r>
      <w:r>
        <w:rPr>
          <w:sz w:val="11"/>
        </w:rPr>
        <w:t>wool</w:t>
      </w:r>
      <w:r>
        <w:rPr>
          <w:spacing w:val="5"/>
          <w:sz w:val="11"/>
        </w:rPr>
        <w:t xml:space="preserve"> </w:t>
      </w:r>
      <w:r>
        <w:rPr>
          <w:sz w:val="11"/>
        </w:rPr>
        <w:t>products</w:t>
      </w:r>
      <w:r>
        <w:rPr>
          <w:spacing w:val="6"/>
          <w:sz w:val="11"/>
        </w:rPr>
        <w:t xml:space="preserve"> </w:t>
      </w:r>
      <w:r>
        <w:rPr>
          <w:sz w:val="11"/>
        </w:rPr>
        <w:t>does</w:t>
      </w:r>
      <w:r>
        <w:rPr>
          <w:spacing w:val="5"/>
          <w:sz w:val="11"/>
        </w:rPr>
        <w:t xml:space="preserve"> </w:t>
      </w:r>
      <w:r>
        <w:rPr>
          <w:sz w:val="11"/>
        </w:rPr>
        <w:t>not</w:t>
      </w:r>
      <w:r>
        <w:rPr>
          <w:spacing w:val="5"/>
          <w:sz w:val="11"/>
        </w:rPr>
        <w:t xml:space="preserve"> </w:t>
      </w:r>
      <w:r>
        <w:rPr>
          <w:sz w:val="11"/>
        </w:rPr>
        <w:t>change</w:t>
      </w:r>
      <w:r>
        <w:rPr>
          <w:spacing w:val="6"/>
          <w:sz w:val="11"/>
        </w:rPr>
        <w:t xml:space="preserve"> </w:t>
      </w:r>
      <w:r>
        <w:rPr>
          <w:sz w:val="11"/>
        </w:rPr>
        <w:t>with</w:t>
      </w:r>
      <w:r>
        <w:rPr>
          <w:spacing w:val="8"/>
          <w:sz w:val="11"/>
        </w:rPr>
        <w:t xml:space="preserve"> </w:t>
      </w:r>
      <w:r>
        <w:rPr>
          <w:sz w:val="11"/>
        </w:rPr>
        <w:t>time,</w:t>
      </w:r>
      <w:r>
        <w:rPr>
          <w:spacing w:val="3"/>
          <w:sz w:val="11"/>
        </w:rPr>
        <w:t xml:space="preserve"> </w:t>
      </w:r>
      <w:r>
        <w:rPr>
          <w:sz w:val="11"/>
        </w:rPr>
        <w:t>experience</w:t>
      </w:r>
      <w:r>
        <w:rPr>
          <w:spacing w:val="8"/>
          <w:sz w:val="11"/>
        </w:rPr>
        <w:t xml:space="preserve"> </w:t>
      </w:r>
      <w:r>
        <w:rPr>
          <w:sz w:val="11"/>
        </w:rPr>
        <w:t>has</w:t>
      </w:r>
      <w:r>
        <w:rPr>
          <w:spacing w:val="4"/>
          <w:sz w:val="11"/>
        </w:rPr>
        <w:t xml:space="preserve"> </w:t>
      </w:r>
      <w:r>
        <w:rPr>
          <w:sz w:val="11"/>
        </w:rPr>
        <w:t>shown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9"/>
          <w:sz w:val="11"/>
        </w:rPr>
        <w:t xml:space="preserve"> </w:t>
      </w:r>
      <w:r>
        <w:rPr>
          <w:sz w:val="11"/>
        </w:rPr>
        <w:t>fibre</w:t>
      </w:r>
      <w:r>
        <w:rPr>
          <w:spacing w:val="8"/>
          <w:sz w:val="11"/>
        </w:rPr>
        <w:t xml:space="preserve"> </w:t>
      </w:r>
      <w:r>
        <w:rPr>
          <w:sz w:val="11"/>
        </w:rPr>
        <w:t>structure</w:t>
      </w:r>
      <w:r>
        <w:rPr>
          <w:spacing w:val="2"/>
          <w:sz w:val="11"/>
        </w:rPr>
        <w:t xml:space="preserve"> </w:t>
      </w:r>
      <w:r>
        <w:rPr>
          <w:sz w:val="11"/>
        </w:rPr>
        <w:t>to</w:t>
      </w:r>
      <w:r>
        <w:rPr>
          <w:spacing w:val="6"/>
          <w:sz w:val="11"/>
        </w:rPr>
        <w:t xml:space="preserve"> </w:t>
      </w:r>
      <w:r>
        <w:rPr>
          <w:sz w:val="11"/>
        </w:rPr>
        <w:t>be</w:t>
      </w:r>
      <w:r>
        <w:rPr>
          <w:spacing w:val="8"/>
          <w:sz w:val="11"/>
        </w:rPr>
        <w:t xml:space="preserve"> </w:t>
      </w:r>
      <w:r>
        <w:rPr>
          <w:sz w:val="11"/>
        </w:rPr>
        <w:t>stable</w:t>
      </w:r>
      <w:r>
        <w:rPr>
          <w:spacing w:val="8"/>
          <w:sz w:val="11"/>
        </w:rPr>
        <w:t xml:space="preserve"> </w:t>
      </w:r>
      <w:r>
        <w:rPr>
          <w:sz w:val="11"/>
        </w:rPr>
        <w:t>and</w:t>
      </w:r>
      <w:r>
        <w:rPr>
          <w:spacing w:val="5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porosity</w:t>
      </w:r>
      <w:r>
        <w:rPr>
          <w:spacing w:val="7"/>
          <w:sz w:val="11"/>
        </w:rPr>
        <w:t xml:space="preserve"> </w:t>
      </w:r>
      <w:r>
        <w:rPr>
          <w:sz w:val="11"/>
        </w:rPr>
        <w:t>contains</w:t>
      </w:r>
      <w:r>
        <w:rPr>
          <w:spacing w:val="7"/>
          <w:sz w:val="11"/>
        </w:rPr>
        <w:t xml:space="preserve"> </w:t>
      </w:r>
      <w:r>
        <w:rPr>
          <w:sz w:val="11"/>
        </w:rPr>
        <w:t>no</w:t>
      </w:r>
      <w:r>
        <w:rPr>
          <w:spacing w:val="5"/>
          <w:sz w:val="11"/>
        </w:rPr>
        <w:t xml:space="preserve"> </w:t>
      </w:r>
      <w:r>
        <w:rPr>
          <w:sz w:val="11"/>
        </w:rPr>
        <w:t>other</w:t>
      </w:r>
      <w:r>
        <w:rPr>
          <w:spacing w:val="5"/>
          <w:sz w:val="11"/>
        </w:rPr>
        <w:t xml:space="preserve"> </w:t>
      </w:r>
      <w:r>
        <w:rPr>
          <w:sz w:val="11"/>
        </w:rPr>
        <w:t>gases</w:t>
      </w:r>
      <w:r>
        <w:rPr>
          <w:spacing w:val="6"/>
          <w:sz w:val="11"/>
        </w:rPr>
        <w:t xml:space="preserve"> </w:t>
      </w:r>
      <w:r>
        <w:rPr>
          <w:sz w:val="11"/>
        </w:rPr>
        <w:t>than</w:t>
      </w:r>
      <w:r>
        <w:rPr>
          <w:spacing w:val="6"/>
          <w:sz w:val="11"/>
        </w:rPr>
        <w:t xml:space="preserve"> </w:t>
      </w:r>
      <w:r>
        <w:rPr>
          <w:sz w:val="11"/>
        </w:rPr>
        <w:t>atmospheric</w:t>
      </w:r>
      <w:r>
        <w:rPr>
          <w:spacing w:val="3"/>
          <w:sz w:val="11"/>
        </w:rPr>
        <w:t xml:space="preserve"> </w:t>
      </w:r>
      <w:r>
        <w:rPr>
          <w:sz w:val="11"/>
        </w:rPr>
        <w:t>air.</w:t>
      </w:r>
    </w:p>
    <w:p w14:paraId="084B75BC" w14:textId="77777777" w:rsidR="00BE1A4D" w:rsidRDefault="00BE1A4D" w:rsidP="00BE1A4D">
      <w:pPr>
        <w:spacing w:before="1"/>
        <w:ind w:left="180"/>
        <w:rPr>
          <w:sz w:val="11"/>
        </w:rPr>
      </w:pPr>
      <w:r>
        <w:rPr>
          <w:sz w:val="11"/>
          <w:vertAlign w:val="superscript"/>
        </w:rPr>
        <w:t>c)</w:t>
      </w:r>
      <w:r>
        <w:rPr>
          <w:spacing w:val="-5"/>
          <w:sz w:val="11"/>
        </w:rPr>
        <w:t xml:space="preserve"> </w:t>
      </w:r>
      <w:r>
        <w:rPr>
          <w:sz w:val="11"/>
        </w:rPr>
        <w:t>For</w:t>
      </w:r>
      <w:r>
        <w:rPr>
          <w:spacing w:val="9"/>
          <w:sz w:val="11"/>
        </w:rPr>
        <w:t xml:space="preserve"> </w:t>
      </w:r>
      <w:r>
        <w:rPr>
          <w:sz w:val="11"/>
        </w:rPr>
        <w:t>dimensional</w:t>
      </w:r>
      <w:r>
        <w:rPr>
          <w:spacing w:val="7"/>
          <w:sz w:val="11"/>
        </w:rPr>
        <w:t xml:space="preserve"> </w:t>
      </w:r>
      <w:r>
        <w:rPr>
          <w:sz w:val="11"/>
        </w:rPr>
        <w:t>stability</w:t>
      </w:r>
      <w:r>
        <w:rPr>
          <w:spacing w:val="10"/>
          <w:sz w:val="11"/>
        </w:rPr>
        <w:t xml:space="preserve"> </w:t>
      </w:r>
      <w:r>
        <w:rPr>
          <w:sz w:val="11"/>
        </w:rPr>
        <w:t>thickness</w:t>
      </w:r>
      <w:r>
        <w:rPr>
          <w:spacing w:val="4"/>
          <w:sz w:val="11"/>
        </w:rPr>
        <w:t xml:space="preserve"> </w:t>
      </w:r>
      <w:r>
        <w:rPr>
          <w:sz w:val="11"/>
        </w:rPr>
        <w:t>only.</w:t>
      </w:r>
    </w:p>
    <w:p w14:paraId="51F05C0D" w14:textId="77777777" w:rsidR="00BE1A4D" w:rsidRDefault="00BE1A4D" w:rsidP="00BE1A4D">
      <w:pPr>
        <w:spacing w:before="6"/>
        <w:ind w:left="180"/>
        <w:rPr>
          <w:sz w:val="11"/>
        </w:rPr>
      </w:pPr>
      <w:r>
        <w:rPr>
          <w:sz w:val="11"/>
          <w:vertAlign w:val="superscript"/>
        </w:rPr>
        <w:t>d)</w:t>
      </w:r>
      <w:r>
        <w:rPr>
          <w:spacing w:val="-5"/>
          <w:sz w:val="11"/>
        </w:rPr>
        <w:t xml:space="preserve"> </w:t>
      </w:r>
      <w:r>
        <w:rPr>
          <w:sz w:val="11"/>
        </w:rPr>
        <w:t>This</w:t>
      </w:r>
      <w:r>
        <w:rPr>
          <w:spacing w:val="7"/>
          <w:sz w:val="11"/>
        </w:rPr>
        <w:t xml:space="preserve"> </w:t>
      </w:r>
      <w:r>
        <w:rPr>
          <w:sz w:val="11"/>
        </w:rPr>
        <w:t>characteristic</w:t>
      </w:r>
      <w:r>
        <w:rPr>
          <w:spacing w:val="11"/>
          <w:sz w:val="11"/>
        </w:rPr>
        <w:t xml:space="preserve"> </w:t>
      </w:r>
      <w:r>
        <w:rPr>
          <w:sz w:val="11"/>
        </w:rPr>
        <w:t>also</w:t>
      </w:r>
      <w:r>
        <w:rPr>
          <w:spacing w:val="7"/>
          <w:sz w:val="11"/>
        </w:rPr>
        <w:t xml:space="preserve"> </w:t>
      </w:r>
      <w:r>
        <w:rPr>
          <w:sz w:val="11"/>
        </w:rPr>
        <w:t>covers</w:t>
      </w:r>
      <w:r>
        <w:rPr>
          <w:spacing w:val="7"/>
          <w:sz w:val="11"/>
        </w:rPr>
        <w:t xml:space="preserve"> </w:t>
      </w:r>
      <w:r>
        <w:rPr>
          <w:sz w:val="11"/>
        </w:rPr>
        <w:t>handling</w:t>
      </w:r>
      <w:r>
        <w:rPr>
          <w:spacing w:val="5"/>
          <w:sz w:val="11"/>
        </w:rPr>
        <w:t xml:space="preserve"> </w:t>
      </w:r>
      <w:r>
        <w:rPr>
          <w:sz w:val="11"/>
        </w:rPr>
        <w:t>and</w:t>
      </w:r>
      <w:r>
        <w:rPr>
          <w:spacing w:val="8"/>
          <w:sz w:val="11"/>
        </w:rPr>
        <w:t xml:space="preserve"> </w:t>
      </w:r>
      <w:r>
        <w:rPr>
          <w:sz w:val="11"/>
        </w:rPr>
        <w:t>installation.</w:t>
      </w:r>
    </w:p>
    <w:p w14:paraId="0D0845C1" w14:textId="77777777" w:rsidR="00BE1A4D" w:rsidRDefault="00BE1A4D" w:rsidP="00BE1A4D">
      <w:pPr>
        <w:ind w:left="180"/>
        <w:rPr>
          <w:sz w:val="11"/>
        </w:rPr>
      </w:pPr>
      <w:r>
        <w:rPr>
          <w:sz w:val="11"/>
          <w:vertAlign w:val="superscript"/>
        </w:rPr>
        <w:t>e)</w:t>
      </w:r>
      <w:r>
        <w:rPr>
          <w:spacing w:val="-6"/>
          <w:sz w:val="11"/>
        </w:rPr>
        <w:t xml:space="preserve"> </w:t>
      </w:r>
      <w:r>
        <w:rPr>
          <w:sz w:val="11"/>
        </w:rPr>
        <w:t>European</w:t>
      </w:r>
      <w:r>
        <w:rPr>
          <w:spacing w:val="10"/>
          <w:sz w:val="11"/>
        </w:rPr>
        <w:t xml:space="preserve"> </w:t>
      </w:r>
      <w:r>
        <w:rPr>
          <w:sz w:val="11"/>
        </w:rPr>
        <w:t>test</w:t>
      </w:r>
      <w:r>
        <w:rPr>
          <w:spacing w:val="7"/>
          <w:sz w:val="11"/>
        </w:rPr>
        <w:t xml:space="preserve"> </w:t>
      </w:r>
      <w:r>
        <w:rPr>
          <w:sz w:val="11"/>
        </w:rPr>
        <w:t>methods</w:t>
      </w:r>
      <w:r>
        <w:rPr>
          <w:spacing w:val="10"/>
          <w:sz w:val="11"/>
        </w:rPr>
        <w:t xml:space="preserve"> </w:t>
      </w:r>
      <w:r>
        <w:rPr>
          <w:sz w:val="11"/>
        </w:rPr>
        <w:t>are</w:t>
      </w:r>
      <w:r>
        <w:rPr>
          <w:spacing w:val="7"/>
          <w:sz w:val="11"/>
        </w:rPr>
        <w:t xml:space="preserve"> </w:t>
      </w:r>
      <w:r>
        <w:rPr>
          <w:sz w:val="11"/>
        </w:rPr>
        <w:t>under</w:t>
      </w:r>
      <w:r>
        <w:rPr>
          <w:spacing w:val="8"/>
          <w:sz w:val="11"/>
        </w:rPr>
        <w:t xml:space="preserve"> </w:t>
      </w:r>
      <w:r>
        <w:rPr>
          <w:sz w:val="11"/>
        </w:rPr>
        <w:t>development.</w:t>
      </w:r>
    </w:p>
    <w:p w14:paraId="1168A73A" w14:textId="77777777" w:rsidR="00BE1A4D" w:rsidRDefault="00BE1A4D" w:rsidP="00BE1A4D">
      <w:pPr>
        <w:pStyle w:val="BodyText"/>
        <w:spacing w:before="7"/>
        <w:rPr>
          <w:sz w:val="13"/>
        </w:rPr>
      </w:pPr>
    </w:p>
    <w:p w14:paraId="76E412B1" w14:textId="77777777" w:rsidR="00BE1A4D" w:rsidRDefault="00BE1A4D" w:rsidP="00BE1A4D">
      <w:pPr>
        <w:pStyle w:val="BodyText"/>
        <w:spacing w:line="237" w:lineRule="auto"/>
        <w:ind w:left="180" w:right="4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Regulation</w:t>
      </w:r>
      <w:r>
        <w:rPr>
          <w:spacing w:val="2"/>
        </w:rPr>
        <w:t xml:space="preserve"> </w:t>
      </w:r>
      <w:r>
        <w:t>(EU) No</w:t>
      </w:r>
      <w:r>
        <w:rPr>
          <w:spacing w:val="-2"/>
        </w:rPr>
        <w:t xml:space="preserve"> </w:t>
      </w:r>
      <w:r>
        <w:t>305/2011, under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responsibility</w:t>
      </w:r>
      <w:r>
        <w:rPr>
          <w:spacing w:val="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manufacturer</w:t>
      </w:r>
      <w:r>
        <w:rPr>
          <w:spacing w:val="1"/>
        </w:rPr>
        <w:t xml:space="preserve"> </w:t>
      </w:r>
      <w:r>
        <w:t>identified</w:t>
      </w:r>
      <w:r>
        <w:rPr>
          <w:spacing w:val="-4"/>
        </w:rPr>
        <w:t xml:space="preserve"> </w:t>
      </w:r>
      <w:r>
        <w:t>above.</w:t>
      </w:r>
    </w:p>
    <w:p w14:paraId="26ADFA1A" w14:textId="77777777" w:rsidR="00BE1A4D" w:rsidRDefault="00BE1A4D" w:rsidP="00BE1A4D">
      <w:pPr>
        <w:pStyle w:val="BodyText"/>
        <w:spacing w:before="3"/>
      </w:pPr>
    </w:p>
    <w:p w14:paraId="40675BE9" w14:textId="77777777" w:rsidR="001944ED" w:rsidRDefault="001944ED" w:rsidP="001944ED">
      <w:pPr>
        <w:pStyle w:val="BodyText"/>
        <w:ind w:left="180"/>
      </w:pPr>
      <w:r>
        <w:t>Signed</w:t>
      </w:r>
      <w:r>
        <w:rPr>
          <w:spacing w:val="-2"/>
        </w:rPr>
        <w:t xml:space="preserve"> </w:t>
      </w:r>
      <w:r>
        <w:t>for and on</w:t>
      </w:r>
      <w:r>
        <w:rPr>
          <w:spacing w:val="1"/>
        </w:rPr>
        <w:t xml:space="preserve"> </w:t>
      </w:r>
      <w:r>
        <w:t>behalf of the</w:t>
      </w:r>
      <w:r>
        <w:rPr>
          <w:spacing w:val="-1"/>
        </w:rPr>
        <w:t xml:space="preserve"> </w:t>
      </w:r>
      <w:r>
        <w:t>manufacturer by:</w:t>
      </w:r>
    </w:p>
    <w:p w14:paraId="33D56C36" w14:textId="6A2F0037" w:rsidR="005E1038" w:rsidRDefault="005E1038">
      <w:pPr>
        <w:pStyle w:val="BodyText"/>
        <w:ind w:left="119"/>
        <w:rPr>
          <w:rFonts w:ascii="Times New Roman"/>
          <w:sz w:val="20"/>
        </w:rPr>
      </w:pPr>
    </w:p>
    <w:p w14:paraId="227AD321" w14:textId="3AD0AB38" w:rsidR="0021287D" w:rsidRDefault="00FA71DF">
      <w:pPr>
        <w:pStyle w:val="BodyText"/>
        <w:spacing w:before="2"/>
        <w:rPr>
          <w:sz w:val="14"/>
        </w:rPr>
      </w:pPr>
      <w:r>
        <w:rPr>
          <w:noProof/>
        </w:rPr>
        <w:drawing>
          <wp:inline distT="0" distB="0" distL="0" distR="0" wp14:anchorId="724563A0" wp14:editId="6B0BDA9F">
            <wp:extent cx="2192655" cy="5524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911C" w14:textId="72BB53B6" w:rsidR="005E1038" w:rsidRDefault="005E1038">
      <w:pPr>
        <w:pStyle w:val="BodyText"/>
        <w:spacing w:before="2"/>
        <w:rPr>
          <w:sz w:val="14"/>
        </w:rPr>
      </w:pPr>
    </w:p>
    <w:p w14:paraId="17876348" w14:textId="3FF885DE" w:rsidR="005E1038" w:rsidRDefault="005E1038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BE1A4D">
        <w:rPr>
          <w:spacing w:val="1"/>
        </w:rPr>
        <w:t xml:space="preserve"> </w:t>
      </w:r>
    </w:p>
    <w:p w14:paraId="5D025F6B" w14:textId="1547C3BF" w:rsidR="0021287D" w:rsidRDefault="005E1038" w:rsidP="005E1038">
      <w:pPr>
        <w:pStyle w:val="BodyText"/>
        <w:spacing w:line="237" w:lineRule="auto"/>
        <w:ind w:left="220" w:right="6718"/>
      </w:pPr>
      <w:r>
        <w:t xml:space="preserve">Product Manager – RBM and Insulation </w:t>
      </w:r>
    </w:p>
    <w:p w14:paraId="6A7617A5" w14:textId="77777777" w:rsidR="0021287D" w:rsidRDefault="0021287D">
      <w:pPr>
        <w:pStyle w:val="BodyText"/>
        <w:spacing w:before="10"/>
        <w:rPr>
          <w:sz w:val="18"/>
        </w:rPr>
      </w:pPr>
    </w:p>
    <w:p w14:paraId="4F75F539" w14:textId="6A9907E6" w:rsidR="0021287D" w:rsidRDefault="00BE1A4D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E0098A">
        <w:rPr>
          <w:spacing w:val="-3"/>
        </w:rPr>
        <w:t>04</w:t>
      </w:r>
      <w:r w:rsidR="00E57B4B" w:rsidRPr="00E57B4B">
        <w:rPr>
          <w:vertAlign w:val="superscript"/>
        </w:rPr>
        <w:t>th</w:t>
      </w:r>
      <w:r w:rsidR="00E57B4B">
        <w:t xml:space="preserve"> </w:t>
      </w:r>
      <w:r w:rsidR="00E0098A">
        <w:t>February 2022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Pro">
    <w:altName w:val="Calibri"/>
    <w:charset w:val="00"/>
    <w:family w:val="auto"/>
    <w:pitch w:val="variable"/>
    <w:sig w:usb0="A00002FF" w:usb1="5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51A06"/>
    <w:multiLevelType w:val="multilevel"/>
    <w:tmpl w:val="658ADC9A"/>
    <w:lvl w:ilvl="0">
      <w:start w:val="4"/>
      <w:numFmt w:val="decimal"/>
      <w:lvlText w:val="%1"/>
      <w:lvlJc w:val="left"/>
      <w:pPr>
        <w:ind w:left="472" w:hanging="4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abstractNum w:abstractNumId="1" w15:restartNumberingAfterBreak="0">
    <w:nsid w:val="705F34DB"/>
    <w:multiLevelType w:val="multilevel"/>
    <w:tmpl w:val="0BF62960"/>
    <w:lvl w:ilvl="0">
      <w:start w:val="4"/>
      <w:numFmt w:val="decimal"/>
      <w:lvlText w:val="%1"/>
      <w:lvlJc w:val="left"/>
      <w:pPr>
        <w:ind w:left="472" w:hanging="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361BA"/>
    <w:rsid w:val="001944ED"/>
    <w:rsid w:val="0021287D"/>
    <w:rsid w:val="002A10DE"/>
    <w:rsid w:val="003C4123"/>
    <w:rsid w:val="005A238A"/>
    <w:rsid w:val="005E1038"/>
    <w:rsid w:val="0061659A"/>
    <w:rsid w:val="006F3677"/>
    <w:rsid w:val="008E2FAB"/>
    <w:rsid w:val="00BE1A4D"/>
    <w:rsid w:val="00C22408"/>
    <w:rsid w:val="00C64FE8"/>
    <w:rsid w:val="00C84F8B"/>
    <w:rsid w:val="00E0098A"/>
    <w:rsid w:val="00E57B4B"/>
    <w:rsid w:val="00FA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Richard Clennell</cp:lastModifiedBy>
  <cp:revision>4</cp:revision>
  <dcterms:created xsi:type="dcterms:W3CDTF">2022-02-04T11:38:00Z</dcterms:created>
  <dcterms:modified xsi:type="dcterms:W3CDTF">2022-02-04T11:42:00Z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